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CA" w:rsidRPr="005E26CA" w:rsidRDefault="005E26CA" w:rsidP="005E26CA">
      <w:pPr>
        <w:spacing w:before="100" w:beforeAutospacing="1" w:after="100" w:afterAutospacing="1" w:line="240" w:lineRule="auto"/>
        <w:jc w:val="center"/>
        <w:rPr>
          <w:rFonts w:ascii="Arial" w:eastAsia="Times New Roman" w:hAnsi="Arial" w:cs="Arial"/>
          <w:sz w:val="21"/>
          <w:szCs w:val="21"/>
          <w:lang w:eastAsia="de-DE"/>
        </w:rPr>
      </w:pPr>
      <w:r w:rsidRPr="005E26CA">
        <w:rPr>
          <w:rFonts w:ascii="Arial" w:eastAsia="Times New Roman" w:hAnsi="Arial" w:cs="Arial"/>
          <w:sz w:val="21"/>
          <w:szCs w:val="21"/>
          <w:lang w:eastAsia="de-DE"/>
        </w:rPr>
        <w:fldChar w:fldCharType="begin"/>
      </w:r>
      <w:r w:rsidRPr="005E26CA">
        <w:rPr>
          <w:rFonts w:ascii="Arial" w:eastAsia="Times New Roman" w:hAnsi="Arial" w:cs="Arial"/>
          <w:sz w:val="21"/>
          <w:szCs w:val="21"/>
          <w:lang w:eastAsia="de-DE"/>
        </w:rPr>
        <w:instrText xml:space="preserve"> HYPERLINK "http://www.sozialgesetzbuch-sgb.de/sgbvii/1.html" </w:instrText>
      </w:r>
      <w:r w:rsidRPr="005E26CA">
        <w:rPr>
          <w:rFonts w:ascii="Arial" w:eastAsia="Times New Roman" w:hAnsi="Arial" w:cs="Arial"/>
          <w:sz w:val="21"/>
          <w:szCs w:val="21"/>
          <w:lang w:eastAsia="de-DE"/>
        </w:rPr>
        <w:fldChar w:fldCharType="separate"/>
      </w:r>
      <w:r w:rsidRPr="005E26CA">
        <w:rPr>
          <w:rFonts w:ascii="Arial" w:eastAsia="Times New Roman" w:hAnsi="Arial" w:cs="Arial"/>
          <w:color w:val="000000"/>
          <w:sz w:val="21"/>
          <w:szCs w:val="21"/>
          <w:u w:val="single"/>
          <w:lang w:eastAsia="de-DE"/>
        </w:rPr>
        <w:t>SGB VII Sozialgesetzbuch - Gesetzliche Unfallversicherung</w:t>
      </w:r>
      <w:r w:rsidRPr="005E26CA">
        <w:rPr>
          <w:rFonts w:ascii="Arial" w:eastAsia="Times New Roman" w:hAnsi="Arial" w:cs="Arial"/>
          <w:sz w:val="21"/>
          <w:szCs w:val="21"/>
          <w:lang w:eastAsia="de-DE"/>
        </w:rPr>
        <w:fldChar w:fldCharType="end"/>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pict>
          <v:rect id="_x0000_i1025" style="width:0;height:1.5pt" o:hralign="center" o:hrstd="t" o:hr="t" fillcolor="#a0a0a0" stroked="f"/>
        </w:pict>
      </w:r>
    </w:p>
    <w:p w:rsidR="005E26CA" w:rsidRPr="005E26CA" w:rsidRDefault="005E26CA" w:rsidP="005E26CA">
      <w:pPr>
        <w:spacing w:before="100" w:beforeAutospacing="1" w:after="225" w:line="240" w:lineRule="auto"/>
        <w:jc w:val="center"/>
        <w:outlineLvl w:val="1"/>
        <w:rPr>
          <w:rFonts w:ascii="Arial" w:eastAsia="Times New Roman" w:hAnsi="Arial" w:cs="Arial"/>
          <w:b/>
          <w:bCs/>
          <w:kern w:val="36"/>
          <w:sz w:val="20"/>
          <w:szCs w:val="20"/>
          <w:lang w:eastAsia="de-DE"/>
        </w:rPr>
      </w:pPr>
      <w:r w:rsidRPr="005E26CA">
        <w:rPr>
          <w:rFonts w:ascii="Arial" w:eastAsia="Times New Roman" w:hAnsi="Arial" w:cs="Arial"/>
          <w:sz w:val="20"/>
          <w:szCs w:val="20"/>
          <w:lang w:eastAsia="de-DE"/>
        </w:rPr>
        <w:pict/>
      </w:r>
      <w:r w:rsidRPr="005E26CA">
        <w:rPr>
          <w:rFonts w:ascii="Arial" w:eastAsia="Times New Roman" w:hAnsi="Arial" w:cs="Arial"/>
          <w:sz w:val="20"/>
          <w:szCs w:val="20"/>
          <w:lang w:eastAsia="de-DE"/>
        </w:rPr>
        <w:pict/>
      </w:r>
      <w:r w:rsidRPr="005E26CA">
        <w:rPr>
          <w:rFonts w:ascii="Arial" w:eastAsia="Times New Roman" w:hAnsi="Arial" w:cs="Arial"/>
          <w:sz w:val="20"/>
          <w:szCs w:val="20"/>
          <w:lang w:eastAsia="de-DE"/>
        </w:rPr>
        <w:pict/>
      </w:r>
      <w:r w:rsidRPr="005E26CA">
        <w:rPr>
          <w:rFonts w:ascii="Arial" w:eastAsia="Times New Roman" w:hAnsi="Arial" w:cs="Arial"/>
          <w:sz w:val="20"/>
          <w:szCs w:val="20"/>
          <w:lang w:eastAsia="de-DE"/>
        </w:rPr>
        <w:pict/>
      </w:r>
      <w:r w:rsidRPr="005E26CA">
        <w:rPr>
          <w:rFonts w:ascii="Arial" w:eastAsia="Times New Roman" w:hAnsi="Arial" w:cs="Arial"/>
          <w:sz w:val="20"/>
          <w:szCs w:val="20"/>
          <w:lang w:eastAsia="de-DE"/>
        </w:rPr>
        <w:pict/>
      </w:r>
      <w:r w:rsidRPr="005E26CA">
        <w:rPr>
          <w:rFonts w:ascii="Arial" w:eastAsia="Times New Roman" w:hAnsi="Arial" w:cs="Arial"/>
          <w:b/>
          <w:bCs/>
          <w:kern w:val="36"/>
          <w:sz w:val="20"/>
          <w:szCs w:val="20"/>
          <w:lang w:eastAsia="de-DE"/>
        </w:rPr>
        <w:t>§ 2 SGB VII Versicherung kraft Gesetzes</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(1) Kraft Gesetzes sind versichert </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1.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Beschäftigte,</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2.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Lernende während der beruflichen Aus- und Fortbildung in Betriebsstätten, Lehrwerkstätten, Schulungskursen und ähnlichen Einrichtungen,</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3.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Personen, die sich Untersuchungen, Prüfungen oder ähnlichen Maßnahmen unterziehen, die aufgrund von Rechtsvorschriften zur Aufnahme einer versicherten Tätigkeit oder infolge einer abgeschlossenen versicherten Tätigkeit erforderlich sind, soweit diese Maßnahmen vom Unternehmen oder einer Behörde </w:t>
      </w:r>
      <w:proofErr w:type="spellStart"/>
      <w:r w:rsidRPr="005E26CA">
        <w:rPr>
          <w:rFonts w:ascii="Arial" w:eastAsia="Times New Roman" w:hAnsi="Arial" w:cs="Arial"/>
          <w:sz w:val="20"/>
          <w:szCs w:val="20"/>
          <w:lang w:eastAsia="de-DE"/>
        </w:rPr>
        <w:t>veranlaßt</w:t>
      </w:r>
      <w:proofErr w:type="spellEnd"/>
      <w:r w:rsidRPr="005E26CA">
        <w:rPr>
          <w:rFonts w:ascii="Arial" w:eastAsia="Times New Roman" w:hAnsi="Arial" w:cs="Arial"/>
          <w:sz w:val="20"/>
          <w:szCs w:val="20"/>
          <w:lang w:eastAsia="de-DE"/>
        </w:rPr>
        <w:t xml:space="preserve"> worden sind,</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4.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behinderte Menschen, die in anerkannten Werkstätten für behinderte Menschen oder in Blindenwerkstätten im Sinne des § 143 des Neunten Buches oder für diese Einrichtungen in Heimarbeit tätig sind,</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5.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Personen, die </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a)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Unternehmer eines landwirtschaftlichen Unternehmens sind und ihre im Unternehmen mitarbeitenden Ehegatten oder Lebenspartner,</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b)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im landwirtschaftlichen Unternehmen nicht nur vorübergehend mitarbeitende Familienangehörige sind,</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c)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in landwirtschaftlichen Unternehmen in der Rechtsform von Kapital- oder Personenhandelsgesellschaften regelmäßig wie Unternehmer selbständig tätig sind,</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d)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ehrenamtlich in Unternehmen tätig sind, die unmittelbar der Sicherung, Überwachung oder Förderung der Landwirtschaft überwiegend dienen,</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e)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ehrenamtlich in den Berufsverbänden der Landwirtschaft tätig sind,</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wenn für das Unternehmen eine landwirtschaftliche Berufsgenossenschaft zuständig ist.</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6.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Hausgewerbetreibende und Zwischenmeister sowie ihre mitarbeitenden Ehegatten oder Lebenspartner,</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7.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selbständig tätige Küstenschiffer und Küstenfischer, die zur Besatzung ihres Fahrzeugs gehören oder als </w:t>
      </w:r>
      <w:r w:rsidRPr="005E26CA">
        <w:rPr>
          <w:rFonts w:ascii="Arial" w:eastAsia="Times New Roman" w:hAnsi="Arial" w:cs="Arial"/>
          <w:sz w:val="20"/>
          <w:szCs w:val="20"/>
          <w:lang w:eastAsia="de-DE"/>
        </w:rPr>
        <w:lastRenderedPageBreak/>
        <w:t>Küstenfischer ohne Fahrzeug fischen und regelmäßig nicht mehr als vier Arbeitnehmer beschäftigen, sowie ihre mitarbeitenden Ehegatten oder Lebenspartner,</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8. </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a)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Kinder während des Besuchs von Tageseinrichtungen, deren Träger für den Betrieb der Einrichtungen der Erlaubnis nach § 45 des Achten Buches oder einer Erlaubnis aufgrund einer entsprechenden landesrechtlichen Regelung bedürfen, sowie während der Betreuung durch geeignete Tagespflegepersonen im Sinne von § 23 des Achten Buches,</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b)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Schüler während des Besuchs von allgemein- oder berufsbildenden Schulen und während der Teilnahme an unmittelbar vor oder nach dem Unterricht von der Schule oder im Zusammenwirken mit </w:t>
      </w:r>
      <w:proofErr w:type="gramStart"/>
      <w:r w:rsidRPr="005E26CA">
        <w:rPr>
          <w:rFonts w:ascii="Arial" w:eastAsia="Times New Roman" w:hAnsi="Arial" w:cs="Arial"/>
          <w:sz w:val="20"/>
          <w:szCs w:val="20"/>
          <w:lang w:eastAsia="de-DE"/>
        </w:rPr>
        <w:t>ihr</w:t>
      </w:r>
      <w:proofErr w:type="gramEnd"/>
      <w:r w:rsidRPr="005E26CA">
        <w:rPr>
          <w:rFonts w:ascii="Arial" w:eastAsia="Times New Roman" w:hAnsi="Arial" w:cs="Arial"/>
          <w:sz w:val="20"/>
          <w:szCs w:val="20"/>
          <w:lang w:eastAsia="de-DE"/>
        </w:rPr>
        <w:t xml:space="preserve"> durchgeführten Betreuungsmaßnahmen,</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c)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Studierende während der Aus- und Fortbildung an Hochschulen,</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9.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Personen, die selbständig oder unentgeltlich, insbesondere ehrenamtlich im Gesundheitswesen oder in der Wohlfahrtspflege tätig sind,</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10.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Personen, die </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a)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für Körperschaften, Anstalten oder Stiftungen des öffentlichen Rechts oder deren Verbände oder Arbeitsgemeinschaften, für die in den Nummern 2 und 8 genannten Einrichtungen oder für privatrechtliche Organisationen im Auftrag oder mit ausdrücklicher Einwilligung, in besonderen Fällen mit schriftlicher Genehmigung von Gebietskörperschaften ehrenamtlich tätig sind oder an Ausbildungsveranstaltungen für diese Tätigkeit teilnehmen,</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b)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für öffentlich-rechtliche Religionsgemeinschaften und deren Einrichtungen oder für privatrechtliche Organisationen im Auftrag oder mit ausdrücklicher Einwilligung, in besonderen Fällen mit schriftlicher Genehmigung von öffentlich-rechtlichen Religionsgemeinschaften ehrenamtlich tätig sind oder an Ausbildungsveranstaltungen für diese Tätigkeit teilnehmen,</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11.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Personen, die </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a)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von einer Körperschaft, Anstalt oder Stiftung des öffentlichen Rechts zur Unterstützung einer Diensthandlung herangezogen werden,</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b)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von einer dazu berechtigten öffentlichen Stelle als Zeugen zur Beweiserhebung herangezogen werden,</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lastRenderedPageBreak/>
        <w:t xml:space="preserve">12.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Personen, die in Unternehmen zur Hilfe bei Unglücksfällen oder im Zivilschutz unentgeltlich, insbesondere ehrenamtlich tätig sind oder an Ausbildungsveranstaltungen dieser Unternehmen teilnehmen,</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13.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Personen, die </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a)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bei Unglücksfällen oder gemeiner Gefahr oder Not Hilfe leisten oder einen anderen aus erheblicher gegenwärtiger Gefahr für seine </w:t>
      </w:r>
      <w:hyperlink r:id="rId5" w:tgtFrame="_blank" w:history="1">
        <w:r w:rsidRPr="005E26CA">
          <w:rPr>
            <w:rFonts w:ascii="Arial" w:eastAsia="Times New Roman" w:hAnsi="Arial" w:cs="Arial"/>
            <w:color w:val="0066CC"/>
            <w:sz w:val="20"/>
            <w:szCs w:val="20"/>
            <w:u w:val="single"/>
            <w:lang w:eastAsia="de-DE"/>
          </w:rPr>
          <w:t>Gesundheit</w:t>
        </w:r>
      </w:hyperlink>
      <w:r w:rsidRPr="005E26CA">
        <w:rPr>
          <w:rFonts w:ascii="Arial" w:eastAsia="Times New Roman" w:hAnsi="Arial" w:cs="Arial"/>
          <w:sz w:val="20"/>
          <w:szCs w:val="20"/>
          <w:lang w:eastAsia="de-DE"/>
        </w:rPr>
        <w:t xml:space="preserve"> retten,</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b)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Blut oder körpereigene Organe, Organteile oder Gewebe spenden,</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c)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sich bei der Verfolgung oder Festnahme einer Person, die einer Straftat verdächtig ist oder zum Schutz eines widerrechtlich Angegriffenen persönlich einsetzen,</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14.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Personen, die </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a)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nach den Vorschriften des Zweiten oder des Dritten Buches der Meldepflicht unterliegen, wenn sie einer besonderen, an sie im Einzelfall gerichteten Aufforderung der Bundesagentur für Arbeit, des nach § 6 Absatz 1 Satz 1 Nummer 2 des Zweiten Buches zuständigen Trägers oder eines nach § 6a des Zweiten Buches zugelassenen kommunalen Trägers nachkommen, diese oder eine andere Stelle aufzusuchen,</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b)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an einer Maßnahme teilnehmen, wenn die Person selbst oder die Maßnahme über die Bundesagentur für Arbeit, einen nach § 6 Absatz 1 Satz 1 Nummer 2 des Zweiten Buches zuständigen Träger oder einen nach § 6a des Zweiten Buches zugelassenen kommunalen Träger gefördert wird,</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15.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Personen, die </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a)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auf Kosten einer Krankenkasse oder eines Trägers der gesetzlichen </w:t>
      </w:r>
      <w:hyperlink r:id="rId6" w:tgtFrame="_blank" w:history="1">
        <w:r w:rsidRPr="005E26CA">
          <w:rPr>
            <w:rFonts w:ascii="Arial" w:eastAsia="Times New Roman" w:hAnsi="Arial" w:cs="Arial"/>
            <w:color w:val="0066CC"/>
            <w:sz w:val="20"/>
            <w:szCs w:val="20"/>
            <w:u w:val="single"/>
            <w:lang w:eastAsia="de-DE"/>
          </w:rPr>
          <w:t>Rentenversicherung</w:t>
        </w:r>
      </w:hyperlink>
      <w:r w:rsidRPr="005E26CA">
        <w:rPr>
          <w:rFonts w:ascii="Arial" w:eastAsia="Times New Roman" w:hAnsi="Arial" w:cs="Arial"/>
          <w:sz w:val="20"/>
          <w:szCs w:val="20"/>
          <w:lang w:eastAsia="de-DE"/>
        </w:rPr>
        <w:t xml:space="preserve"> oder einer landwirtschaftlichen Alterskasse stationäre oder teilstationäre Behandlung oder stationäre, teilstationäre oder ambulante Leistungen zur medizinischen Rehabilitation erhalten,</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b)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zur Vorbereitung von Leistungen zur Teilhabe am Arbeitsleben auf Aufforderung eines Trägers der gesetzlichen Rentenversicherung oder der Bundesagentur für Arbeit einen dieser Träger oder eine andere Stelle aufsuchen,</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c)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lastRenderedPageBreak/>
        <w:t>auf Kosten eines Unfallversicherungsträgers an vorbeugenden Maßnahmen nach § 3 der Berufskrankheiten-Verordnung teilnehmen,</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16.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Personen, die bei der Schaffung öffentlich geförderten Wohnraums im Sinne des Zweiten Wohnungsbaugesetzes oder im Rahmen der sozialen Wohnraumförderung bei der Schaffung von Wohnraum im Sinne des § 16 Abs. 1 Nr. 1 bis 3 des Wohnraumförderungsgesetzes oder entsprechender landesrechtlicher Regelungen im Rahmen der Selbsthilfe tätig sind,</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17.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Pflegepersonen im Sinne des § 19 des Elften Buches bei der Pflege eines Pflegebedürftigen im Sinne des § 14 des Elften Buches; die versicherte Tätigkeit </w:t>
      </w:r>
      <w:proofErr w:type="spellStart"/>
      <w:r w:rsidRPr="005E26CA">
        <w:rPr>
          <w:rFonts w:ascii="Arial" w:eastAsia="Times New Roman" w:hAnsi="Arial" w:cs="Arial"/>
          <w:sz w:val="20"/>
          <w:szCs w:val="20"/>
          <w:lang w:eastAsia="de-DE"/>
        </w:rPr>
        <w:t>umfaßt</w:t>
      </w:r>
      <w:proofErr w:type="spellEnd"/>
      <w:r w:rsidRPr="005E26CA">
        <w:rPr>
          <w:rFonts w:ascii="Arial" w:eastAsia="Times New Roman" w:hAnsi="Arial" w:cs="Arial"/>
          <w:sz w:val="20"/>
          <w:szCs w:val="20"/>
          <w:lang w:eastAsia="de-DE"/>
        </w:rPr>
        <w:t xml:space="preserve"> Pflegetätigkeiten im Bereich der Körperpflege und - soweit diese Tätigkeiten überwiegend Pflegebedürftigen </w:t>
      </w:r>
      <w:proofErr w:type="spellStart"/>
      <w:r w:rsidRPr="005E26CA">
        <w:rPr>
          <w:rFonts w:ascii="Arial" w:eastAsia="Times New Roman" w:hAnsi="Arial" w:cs="Arial"/>
          <w:sz w:val="20"/>
          <w:szCs w:val="20"/>
          <w:lang w:eastAsia="de-DE"/>
        </w:rPr>
        <w:t>zugute kommen</w:t>
      </w:r>
      <w:proofErr w:type="spellEnd"/>
      <w:r w:rsidRPr="005E26CA">
        <w:rPr>
          <w:rFonts w:ascii="Arial" w:eastAsia="Times New Roman" w:hAnsi="Arial" w:cs="Arial"/>
          <w:sz w:val="20"/>
          <w:szCs w:val="20"/>
          <w:lang w:eastAsia="de-DE"/>
        </w:rPr>
        <w:t xml:space="preserve"> - Pflegetätigkeiten in den Bereichen der Ernährung, der Mobilität sowie der hauswirtschaftlichen Versorgung (§ 14 Abs. 4 des Elften Buches).</w:t>
      </w:r>
    </w:p>
    <w:p w:rsidR="005E26CA" w:rsidRPr="005E26CA" w:rsidRDefault="005E26CA" w:rsidP="005E26CA">
      <w:pPr>
        <w:spacing w:after="15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(1a) Versichert sind auch Personen, die nach Erfüllung der Schulpflicht auf der Grundlage einer schriftlichen Vereinbarung im Dienst eines geeigneten Trägers im Umfang von durchschnittlich mindestens acht Wochenstunden und für die Dauer von mindestens sechs Monaten als Freiwillige einen Freiwilligendienst aller Generationen unentgeltlich leisten. Als Träger des Freiwilligendienstes aller Generationen geeignet sind inländische juristische Personen des öffentlichen Rechts oder unter § 5 Abs. 1 Nr. 9 des Körperschaftsteuergesetzes fallende Einrichtungen zur Förderung gemeinnütziger, mildtätiger oder kirchlicher Zwecke (§§ 52 bis 54 der Abgabenordnung), wenn sie die Haftpflichtversicherung und eine kontinuierliche Begleitung der Freiwilligen und deren Fort- und </w:t>
      </w:r>
      <w:hyperlink r:id="rId7" w:tgtFrame="_blank" w:history="1">
        <w:r w:rsidRPr="005E26CA">
          <w:rPr>
            <w:rFonts w:ascii="Arial" w:eastAsia="Times New Roman" w:hAnsi="Arial" w:cs="Arial"/>
            <w:color w:val="0066CC"/>
            <w:sz w:val="20"/>
            <w:szCs w:val="20"/>
            <w:u w:val="single"/>
            <w:lang w:eastAsia="de-DE"/>
          </w:rPr>
          <w:t>Weiterbildung</w:t>
        </w:r>
      </w:hyperlink>
      <w:r w:rsidRPr="005E26CA">
        <w:rPr>
          <w:rFonts w:ascii="Arial" w:eastAsia="Times New Roman" w:hAnsi="Arial" w:cs="Arial"/>
          <w:sz w:val="20"/>
          <w:szCs w:val="20"/>
          <w:lang w:eastAsia="de-DE"/>
        </w:rPr>
        <w:t xml:space="preserve"> im Umfang von mindestens durchschnittlich 60 Stunden je Jahr sicherstellen. Die Träger haben fortlaufende Aufzeichnungen zu führen über die bei ihnen nach Satz 1 tätigen Personen, die Art und den Umfang der Tätigkeiten und die Einsatzorte. Die Aufzeichnungen sind mindestens fünf Jahre lang aufzubewahren.</w:t>
      </w:r>
    </w:p>
    <w:p w:rsidR="005E26CA" w:rsidRPr="005E26CA" w:rsidRDefault="005E26CA" w:rsidP="005E26CA">
      <w:pPr>
        <w:spacing w:after="15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(2) Ferner sind Personen versichert, die wie nach Absatz 1 Nr. 1 Versicherte tätig werden. Satz 1 gilt auch für Personen, die während einer aufgrund eines Gesetzes angeordneten Freiheitsentziehung oder aufgrund einer strafrichterlichen, staatsanwaltlichen oder jugendbehördlichen Anordnung wie Beschäftigte tätig werden.</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(3) Absatz 1 Nr. 1 gilt auch für </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1.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Personen, die im Ausland bei einer amtlichen Vertretung des Bundes oder der Länder oder bei deren Leitern, Mitgliedern oder Bediensteten beschäftigt und in der gesetzlichen Rentenversicherung nach § 4 Absatz 1 Satz 2 des Sechsten Buches pflichtversichert sind,</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2.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Personen, die </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a)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im Sinne des Entwicklungshelfer-Gesetzes Entwicklungsdienst oder Vorbereitungsdienst leisten,</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b)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einen entwicklungspolitischen Freiwilligendienst „</w:t>
      </w:r>
      <w:proofErr w:type="spellStart"/>
      <w:r w:rsidRPr="005E26CA">
        <w:rPr>
          <w:rFonts w:ascii="Arial" w:eastAsia="Times New Roman" w:hAnsi="Arial" w:cs="Arial"/>
          <w:sz w:val="20"/>
          <w:szCs w:val="20"/>
          <w:lang w:eastAsia="de-DE"/>
        </w:rPr>
        <w:t>weltwärts</w:t>
      </w:r>
      <w:proofErr w:type="spellEnd"/>
      <w:r w:rsidRPr="005E26CA">
        <w:rPr>
          <w:rFonts w:ascii="Arial" w:eastAsia="Times New Roman" w:hAnsi="Arial" w:cs="Arial"/>
          <w:sz w:val="20"/>
          <w:szCs w:val="20"/>
          <w:lang w:eastAsia="de-DE"/>
        </w:rPr>
        <w:t>” im Sinne der Richtlinie des Bundesministeriums für wirtschaftliche Zusammenarbeit und Entwicklung vom 1. August 2007 (BAnz. 2008 S. 1297) leisten,</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c)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lastRenderedPageBreak/>
        <w:t>einen Internationalen Jugendfreiwilligendienst im Sinne der Richtlinie Internationaler Jugendfreiwilligendienst des Bundesministeriums für Familie, Senioren, Frauen und Jugend vom 20. Dezember 2010 (</w:t>
      </w:r>
      <w:proofErr w:type="spellStart"/>
      <w:r w:rsidRPr="005E26CA">
        <w:rPr>
          <w:rFonts w:ascii="Arial" w:eastAsia="Times New Roman" w:hAnsi="Arial" w:cs="Arial"/>
          <w:sz w:val="20"/>
          <w:szCs w:val="20"/>
          <w:lang w:eastAsia="de-DE"/>
        </w:rPr>
        <w:t>GMBl</w:t>
      </w:r>
      <w:proofErr w:type="spellEnd"/>
      <w:r w:rsidRPr="005E26CA">
        <w:rPr>
          <w:rFonts w:ascii="Arial" w:eastAsia="Times New Roman" w:hAnsi="Arial" w:cs="Arial"/>
          <w:sz w:val="20"/>
          <w:szCs w:val="20"/>
          <w:lang w:eastAsia="de-DE"/>
        </w:rPr>
        <w:t xml:space="preserve"> S. 1778) leisten,</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3.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Personen, die </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a)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eine Tätigkeit bei einer zwischenstaatlichen oder überstaatlichen Organisation ausüben und deren Beschäftigungsverhältnis im öffentlichen Dienst während dieser Zeit ruht,</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b)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als Lehrkräfte vom Auswärtigen Amt durch das Bundesverwaltungsamt an Schulen im Ausland vermittelt worden sind oder</w:t>
      </w:r>
    </w:p>
    <w:p w:rsidR="005E26CA" w:rsidRPr="005E26CA" w:rsidRDefault="005E26CA" w:rsidP="005E26CA">
      <w:pPr>
        <w:spacing w:after="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c)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für ihre Tätigkeit bei internationalen Einsätzen zur zivilen Krisenprävention durch einen </w:t>
      </w:r>
      <w:proofErr w:type="spellStart"/>
      <w:r w:rsidRPr="005E26CA">
        <w:rPr>
          <w:rFonts w:ascii="Arial" w:eastAsia="Times New Roman" w:hAnsi="Arial" w:cs="Arial"/>
          <w:sz w:val="20"/>
          <w:szCs w:val="20"/>
          <w:lang w:eastAsia="de-DE"/>
        </w:rPr>
        <w:t>Sekundierungsvertrag</w:t>
      </w:r>
      <w:proofErr w:type="spellEnd"/>
      <w:r w:rsidRPr="005E26CA">
        <w:rPr>
          <w:rFonts w:ascii="Arial" w:eastAsia="Times New Roman" w:hAnsi="Arial" w:cs="Arial"/>
          <w:sz w:val="20"/>
          <w:szCs w:val="20"/>
          <w:lang w:eastAsia="de-DE"/>
        </w:rPr>
        <w:t xml:space="preserve"> nach dem </w:t>
      </w:r>
      <w:proofErr w:type="spellStart"/>
      <w:r w:rsidRPr="005E26CA">
        <w:rPr>
          <w:rFonts w:ascii="Arial" w:eastAsia="Times New Roman" w:hAnsi="Arial" w:cs="Arial"/>
          <w:sz w:val="20"/>
          <w:szCs w:val="20"/>
          <w:lang w:eastAsia="de-DE"/>
        </w:rPr>
        <w:t>Sekundierungsgesetz</w:t>
      </w:r>
      <w:proofErr w:type="spellEnd"/>
      <w:r w:rsidRPr="005E26CA">
        <w:rPr>
          <w:rFonts w:ascii="Arial" w:eastAsia="Times New Roman" w:hAnsi="Arial" w:cs="Arial"/>
          <w:sz w:val="20"/>
          <w:szCs w:val="20"/>
          <w:lang w:eastAsia="de-DE"/>
        </w:rPr>
        <w:t xml:space="preserve"> abgesichert werden.</w:t>
      </w:r>
    </w:p>
    <w:p w:rsidR="005E26CA" w:rsidRPr="005E26CA" w:rsidRDefault="005E26CA" w:rsidP="005E26CA">
      <w:pPr>
        <w:spacing w:after="15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Die </w:t>
      </w:r>
      <w:hyperlink r:id="rId8" w:tgtFrame="_blank" w:history="1">
        <w:r w:rsidRPr="005E26CA">
          <w:rPr>
            <w:rFonts w:ascii="Arial" w:eastAsia="Times New Roman" w:hAnsi="Arial" w:cs="Arial"/>
            <w:color w:val="0066CC"/>
            <w:sz w:val="20"/>
            <w:szCs w:val="20"/>
            <w:u w:val="single"/>
            <w:lang w:eastAsia="de-DE"/>
          </w:rPr>
          <w:t>Versicherung</w:t>
        </w:r>
      </w:hyperlink>
      <w:r w:rsidRPr="005E26CA">
        <w:rPr>
          <w:rFonts w:ascii="Arial" w:eastAsia="Times New Roman" w:hAnsi="Arial" w:cs="Arial"/>
          <w:sz w:val="20"/>
          <w:szCs w:val="20"/>
          <w:lang w:eastAsia="de-DE"/>
        </w:rPr>
        <w:t xml:space="preserve"> nach Satz 1 Nummer 3 Buchstabe a und c erstreckt sich auch auf Unfälle oder Krankheiten, die infolge einer Verschleppung oder einer Gefangenschaft eintreten oder darauf beruhen, dass der Versicherte aus sonstigen mit seiner Tätigkeit zusammenhängenden Gründen, die er nicht zu vertreten hat, dem Einflussbereich seines Arbeitgebers oder der für die Durchführung seines Einsatzes verantwortlichen Einrichtung entzogen ist. Gleiches gilt, wenn Unfälle oder Krankheiten auf gesundheitsschädigende oder sonst vom Inland wesentlich abweichende Verhältnisse bei der Tätigkeit oder dem Einsatz im Ausland zurückzuführen sind. Soweit die Absätze 1 bis 2 weder eine Beschäftigung noch eine selbständige Tätigkeit voraussetzen, gelten sie abweichend von § 3 Nr. 2 des Vierten Buches für alle Personen, die die in diesen Absätzen genannten Tätigkeiten im Inland ausüben; § 4 des Vierten Buches gilt entsprechend. Absatz 1 Nr. 13 gilt auch für Personen, die im Ausland tätig werden, wenn sie im Inland ihren Wohnsitz oder gewöhnlichen Aufenthalt haben.</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(4) Familienangehörige im Sinne des Absatzes 1 Nr. 5 Buchstabe b sind </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1.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Verwandte bis zum dritten Grade,</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2.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Verschwägerte bis zum zweiten Grade,</w:t>
      </w:r>
    </w:p>
    <w:p w:rsidR="005E26CA" w:rsidRPr="005E26CA" w:rsidRDefault="005E26CA" w:rsidP="005E26CA">
      <w:pPr>
        <w:spacing w:after="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 xml:space="preserve">3. </w:t>
      </w:r>
    </w:p>
    <w:p w:rsidR="005E26CA" w:rsidRPr="005E26CA" w:rsidRDefault="005E26CA" w:rsidP="005E26CA">
      <w:pPr>
        <w:spacing w:after="150" w:line="240" w:lineRule="auto"/>
        <w:ind w:left="4020"/>
        <w:rPr>
          <w:rFonts w:ascii="Arial" w:eastAsia="Times New Roman" w:hAnsi="Arial" w:cs="Arial"/>
          <w:sz w:val="20"/>
          <w:szCs w:val="20"/>
          <w:lang w:eastAsia="de-DE"/>
        </w:rPr>
      </w:pPr>
      <w:r w:rsidRPr="005E26CA">
        <w:rPr>
          <w:rFonts w:ascii="Arial" w:eastAsia="Times New Roman" w:hAnsi="Arial" w:cs="Arial"/>
          <w:sz w:val="20"/>
          <w:szCs w:val="20"/>
          <w:lang w:eastAsia="de-DE"/>
        </w:rPr>
        <w:t>Pflegekinder (§ 56 Abs. 2 Nr. 2 des Ersten Buches)</w:t>
      </w:r>
    </w:p>
    <w:p w:rsidR="005E26CA" w:rsidRPr="005E26CA" w:rsidRDefault="005E26CA" w:rsidP="005E26CA">
      <w:pPr>
        <w:spacing w:after="150" w:line="240" w:lineRule="auto"/>
        <w:rPr>
          <w:rFonts w:ascii="Arial" w:eastAsia="Times New Roman" w:hAnsi="Arial" w:cs="Arial"/>
          <w:sz w:val="20"/>
          <w:szCs w:val="20"/>
          <w:lang w:eastAsia="de-DE"/>
        </w:rPr>
      </w:pPr>
      <w:r w:rsidRPr="005E26CA">
        <w:rPr>
          <w:rFonts w:ascii="Arial" w:eastAsia="Times New Roman" w:hAnsi="Arial" w:cs="Arial"/>
          <w:sz w:val="20"/>
          <w:szCs w:val="20"/>
          <w:lang w:eastAsia="de-DE"/>
        </w:rPr>
        <w:t>der Unternehmer, ihrer Ehegatten oder ihrer Lebenspartner.</w:t>
      </w:r>
    </w:p>
    <w:p w:rsidR="00875C30" w:rsidRDefault="005E26CA">
      <w:bookmarkStart w:id="0" w:name="_GoBack"/>
      <w:bookmarkEnd w:id="0"/>
    </w:p>
    <w:sectPr w:rsidR="00875C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CA"/>
    <w:rsid w:val="002D2CD2"/>
    <w:rsid w:val="005E26CA"/>
    <w:rsid w:val="00796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E26C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E26C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790">
      <w:bodyDiv w:val="1"/>
      <w:marLeft w:val="0"/>
      <w:marRight w:val="0"/>
      <w:marTop w:val="0"/>
      <w:marBottom w:val="0"/>
      <w:divBdr>
        <w:top w:val="none" w:sz="0" w:space="0" w:color="auto"/>
        <w:left w:val="none" w:sz="0" w:space="0" w:color="auto"/>
        <w:bottom w:val="none" w:sz="0" w:space="0" w:color="auto"/>
        <w:right w:val="none" w:sz="0" w:space="0" w:color="auto"/>
      </w:divBdr>
      <w:divsChild>
        <w:div w:id="2044283119">
          <w:marLeft w:val="0"/>
          <w:marRight w:val="0"/>
          <w:marTop w:val="0"/>
          <w:marBottom w:val="0"/>
          <w:divBdr>
            <w:top w:val="none" w:sz="0" w:space="0" w:color="auto"/>
            <w:left w:val="none" w:sz="0" w:space="0" w:color="auto"/>
            <w:bottom w:val="none" w:sz="0" w:space="0" w:color="auto"/>
            <w:right w:val="none" w:sz="0" w:space="0" w:color="auto"/>
          </w:divBdr>
          <w:divsChild>
            <w:div w:id="464280746">
              <w:marLeft w:val="3300"/>
              <w:marRight w:val="0"/>
              <w:marTop w:val="0"/>
              <w:marBottom w:val="0"/>
              <w:divBdr>
                <w:top w:val="none" w:sz="0" w:space="0" w:color="auto"/>
                <w:left w:val="none" w:sz="0" w:space="0" w:color="auto"/>
                <w:bottom w:val="none" w:sz="0" w:space="0" w:color="auto"/>
                <w:right w:val="none" w:sz="0" w:space="0" w:color="auto"/>
              </w:divBdr>
              <w:divsChild>
                <w:div w:id="1305967278">
                  <w:marLeft w:val="0"/>
                  <w:marRight w:val="0"/>
                  <w:marTop w:val="0"/>
                  <w:marBottom w:val="0"/>
                  <w:divBdr>
                    <w:top w:val="none" w:sz="0" w:space="0" w:color="auto"/>
                    <w:left w:val="none" w:sz="0" w:space="0" w:color="auto"/>
                    <w:bottom w:val="none" w:sz="0" w:space="0" w:color="auto"/>
                    <w:right w:val="none" w:sz="0" w:space="0" w:color="auto"/>
                  </w:divBdr>
                  <w:divsChild>
                    <w:div w:id="53237594">
                      <w:marLeft w:val="0"/>
                      <w:marRight w:val="0"/>
                      <w:marTop w:val="0"/>
                      <w:marBottom w:val="150"/>
                      <w:divBdr>
                        <w:top w:val="none" w:sz="0" w:space="0" w:color="auto"/>
                        <w:left w:val="none" w:sz="0" w:space="0" w:color="auto"/>
                        <w:bottom w:val="none" w:sz="0" w:space="0" w:color="auto"/>
                        <w:right w:val="none" w:sz="0" w:space="0" w:color="auto"/>
                      </w:divBdr>
                    </w:div>
                    <w:div w:id="371852177">
                      <w:marLeft w:val="0"/>
                      <w:marRight w:val="0"/>
                      <w:marTop w:val="0"/>
                      <w:marBottom w:val="0"/>
                      <w:divBdr>
                        <w:top w:val="none" w:sz="0" w:space="0" w:color="auto"/>
                        <w:left w:val="none" w:sz="0" w:space="0" w:color="auto"/>
                        <w:bottom w:val="none" w:sz="0" w:space="0" w:color="auto"/>
                        <w:right w:val="none" w:sz="0" w:space="0" w:color="auto"/>
                      </w:divBdr>
                      <w:divsChild>
                        <w:div w:id="1091463566">
                          <w:marLeft w:val="0"/>
                          <w:marRight w:val="0"/>
                          <w:marTop w:val="0"/>
                          <w:marBottom w:val="150"/>
                          <w:divBdr>
                            <w:top w:val="none" w:sz="0" w:space="0" w:color="auto"/>
                            <w:left w:val="none" w:sz="0" w:space="0" w:color="auto"/>
                            <w:bottom w:val="none" w:sz="0" w:space="0" w:color="auto"/>
                            <w:right w:val="none" w:sz="0" w:space="0" w:color="auto"/>
                          </w:divBdr>
                          <w:divsChild>
                            <w:div w:id="1584801263">
                              <w:marLeft w:val="0"/>
                              <w:marRight w:val="0"/>
                              <w:marTop w:val="0"/>
                              <w:marBottom w:val="0"/>
                              <w:divBdr>
                                <w:top w:val="none" w:sz="0" w:space="0" w:color="auto"/>
                                <w:left w:val="none" w:sz="0" w:space="0" w:color="auto"/>
                                <w:bottom w:val="none" w:sz="0" w:space="0" w:color="auto"/>
                                <w:right w:val="none" w:sz="0" w:space="0" w:color="auto"/>
                              </w:divBdr>
                            </w:div>
                            <w:div w:id="1431386556">
                              <w:marLeft w:val="0"/>
                              <w:marRight w:val="0"/>
                              <w:marTop w:val="0"/>
                              <w:marBottom w:val="0"/>
                              <w:divBdr>
                                <w:top w:val="none" w:sz="0" w:space="0" w:color="auto"/>
                                <w:left w:val="none" w:sz="0" w:space="0" w:color="auto"/>
                                <w:bottom w:val="none" w:sz="0" w:space="0" w:color="auto"/>
                                <w:right w:val="none" w:sz="0" w:space="0" w:color="auto"/>
                              </w:divBdr>
                            </w:div>
                            <w:div w:id="1753117801">
                              <w:marLeft w:val="0"/>
                              <w:marRight w:val="0"/>
                              <w:marTop w:val="0"/>
                              <w:marBottom w:val="0"/>
                              <w:divBdr>
                                <w:top w:val="none" w:sz="0" w:space="0" w:color="auto"/>
                                <w:left w:val="none" w:sz="0" w:space="0" w:color="auto"/>
                                <w:bottom w:val="none" w:sz="0" w:space="0" w:color="auto"/>
                                <w:right w:val="none" w:sz="0" w:space="0" w:color="auto"/>
                              </w:divBdr>
                            </w:div>
                            <w:div w:id="373776658">
                              <w:marLeft w:val="0"/>
                              <w:marRight w:val="0"/>
                              <w:marTop w:val="0"/>
                              <w:marBottom w:val="0"/>
                              <w:divBdr>
                                <w:top w:val="none" w:sz="0" w:space="0" w:color="auto"/>
                                <w:left w:val="none" w:sz="0" w:space="0" w:color="auto"/>
                                <w:bottom w:val="none" w:sz="0" w:space="0" w:color="auto"/>
                                <w:right w:val="none" w:sz="0" w:space="0" w:color="auto"/>
                              </w:divBdr>
                            </w:div>
                            <w:div w:id="2036882038">
                              <w:marLeft w:val="0"/>
                              <w:marRight w:val="0"/>
                              <w:marTop w:val="0"/>
                              <w:marBottom w:val="0"/>
                              <w:divBdr>
                                <w:top w:val="none" w:sz="0" w:space="0" w:color="auto"/>
                                <w:left w:val="none" w:sz="0" w:space="0" w:color="auto"/>
                                <w:bottom w:val="none" w:sz="0" w:space="0" w:color="auto"/>
                                <w:right w:val="none" w:sz="0" w:space="0" w:color="auto"/>
                              </w:divBdr>
                              <w:divsChild>
                                <w:div w:id="440102700">
                                  <w:marLeft w:val="0"/>
                                  <w:marRight w:val="0"/>
                                  <w:marTop w:val="0"/>
                                  <w:marBottom w:val="0"/>
                                  <w:divBdr>
                                    <w:top w:val="none" w:sz="0" w:space="0" w:color="auto"/>
                                    <w:left w:val="none" w:sz="0" w:space="0" w:color="auto"/>
                                    <w:bottom w:val="none" w:sz="0" w:space="0" w:color="auto"/>
                                    <w:right w:val="none" w:sz="0" w:space="0" w:color="auto"/>
                                  </w:divBdr>
                                </w:div>
                                <w:div w:id="179593179">
                                  <w:marLeft w:val="0"/>
                                  <w:marRight w:val="0"/>
                                  <w:marTop w:val="0"/>
                                  <w:marBottom w:val="0"/>
                                  <w:divBdr>
                                    <w:top w:val="none" w:sz="0" w:space="0" w:color="auto"/>
                                    <w:left w:val="none" w:sz="0" w:space="0" w:color="auto"/>
                                    <w:bottom w:val="none" w:sz="0" w:space="0" w:color="auto"/>
                                    <w:right w:val="none" w:sz="0" w:space="0" w:color="auto"/>
                                  </w:divBdr>
                                </w:div>
                                <w:div w:id="1750691971">
                                  <w:marLeft w:val="0"/>
                                  <w:marRight w:val="0"/>
                                  <w:marTop w:val="0"/>
                                  <w:marBottom w:val="0"/>
                                  <w:divBdr>
                                    <w:top w:val="none" w:sz="0" w:space="0" w:color="auto"/>
                                    <w:left w:val="none" w:sz="0" w:space="0" w:color="auto"/>
                                    <w:bottom w:val="none" w:sz="0" w:space="0" w:color="auto"/>
                                    <w:right w:val="none" w:sz="0" w:space="0" w:color="auto"/>
                                  </w:divBdr>
                                </w:div>
                                <w:div w:id="1747261550">
                                  <w:marLeft w:val="0"/>
                                  <w:marRight w:val="0"/>
                                  <w:marTop w:val="0"/>
                                  <w:marBottom w:val="0"/>
                                  <w:divBdr>
                                    <w:top w:val="none" w:sz="0" w:space="0" w:color="auto"/>
                                    <w:left w:val="none" w:sz="0" w:space="0" w:color="auto"/>
                                    <w:bottom w:val="none" w:sz="0" w:space="0" w:color="auto"/>
                                    <w:right w:val="none" w:sz="0" w:space="0" w:color="auto"/>
                                  </w:divBdr>
                                </w:div>
                                <w:div w:id="824705100">
                                  <w:marLeft w:val="0"/>
                                  <w:marRight w:val="0"/>
                                  <w:marTop w:val="0"/>
                                  <w:marBottom w:val="0"/>
                                  <w:divBdr>
                                    <w:top w:val="none" w:sz="0" w:space="0" w:color="auto"/>
                                    <w:left w:val="none" w:sz="0" w:space="0" w:color="auto"/>
                                    <w:bottom w:val="none" w:sz="0" w:space="0" w:color="auto"/>
                                    <w:right w:val="none" w:sz="0" w:space="0" w:color="auto"/>
                                  </w:divBdr>
                                </w:div>
                              </w:divsChild>
                            </w:div>
                            <w:div w:id="2132822658">
                              <w:marLeft w:val="0"/>
                              <w:marRight w:val="0"/>
                              <w:marTop w:val="0"/>
                              <w:marBottom w:val="0"/>
                              <w:divBdr>
                                <w:top w:val="none" w:sz="0" w:space="0" w:color="auto"/>
                                <w:left w:val="none" w:sz="0" w:space="0" w:color="auto"/>
                                <w:bottom w:val="none" w:sz="0" w:space="0" w:color="auto"/>
                                <w:right w:val="none" w:sz="0" w:space="0" w:color="auto"/>
                              </w:divBdr>
                            </w:div>
                            <w:div w:id="1795099880">
                              <w:marLeft w:val="0"/>
                              <w:marRight w:val="0"/>
                              <w:marTop w:val="0"/>
                              <w:marBottom w:val="0"/>
                              <w:divBdr>
                                <w:top w:val="none" w:sz="0" w:space="0" w:color="auto"/>
                                <w:left w:val="none" w:sz="0" w:space="0" w:color="auto"/>
                                <w:bottom w:val="none" w:sz="0" w:space="0" w:color="auto"/>
                                <w:right w:val="none" w:sz="0" w:space="0" w:color="auto"/>
                              </w:divBdr>
                            </w:div>
                            <w:div w:id="1271009685">
                              <w:marLeft w:val="0"/>
                              <w:marRight w:val="0"/>
                              <w:marTop w:val="0"/>
                              <w:marBottom w:val="0"/>
                              <w:divBdr>
                                <w:top w:val="none" w:sz="0" w:space="0" w:color="auto"/>
                                <w:left w:val="none" w:sz="0" w:space="0" w:color="auto"/>
                                <w:bottom w:val="none" w:sz="0" w:space="0" w:color="auto"/>
                                <w:right w:val="none" w:sz="0" w:space="0" w:color="auto"/>
                              </w:divBdr>
                              <w:divsChild>
                                <w:div w:id="945649083">
                                  <w:marLeft w:val="0"/>
                                  <w:marRight w:val="0"/>
                                  <w:marTop w:val="0"/>
                                  <w:marBottom w:val="0"/>
                                  <w:divBdr>
                                    <w:top w:val="none" w:sz="0" w:space="0" w:color="auto"/>
                                    <w:left w:val="none" w:sz="0" w:space="0" w:color="auto"/>
                                    <w:bottom w:val="none" w:sz="0" w:space="0" w:color="auto"/>
                                    <w:right w:val="none" w:sz="0" w:space="0" w:color="auto"/>
                                  </w:divBdr>
                                </w:div>
                                <w:div w:id="904294030">
                                  <w:marLeft w:val="0"/>
                                  <w:marRight w:val="0"/>
                                  <w:marTop w:val="0"/>
                                  <w:marBottom w:val="0"/>
                                  <w:divBdr>
                                    <w:top w:val="none" w:sz="0" w:space="0" w:color="auto"/>
                                    <w:left w:val="none" w:sz="0" w:space="0" w:color="auto"/>
                                    <w:bottom w:val="none" w:sz="0" w:space="0" w:color="auto"/>
                                    <w:right w:val="none" w:sz="0" w:space="0" w:color="auto"/>
                                  </w:divBdr>
                                </w:div>
                                <w:div w:id="1504125903">
                                  <w:marLeft w:val="0"/>
                                  <w:marRight w:val="0"/>
                                  <w:marTop w:val="0"/>
                                  <w:marBottom w:val="0"/>
                                  <w:divBdr>
                                    <w:top w:val="none" w:sz="0" w:space="0" w:color="auto"/>
                                    <w:left w:val="none" w:sz="0" w:space="0" w:color="auto"/>
                                    <w:bottom w:val="none" w:sz="0" w:space="0" w:color="auto"/>
                                    <w:right w:val="none" w:sz="0" w:space="0" w:color="auto"/>
                                  </w:divBdr>
                                </w:div>
                              </w:divsChild>
                            </w:div>
                            <w:div w:id="118186004">
                              <w:marLeft w:val="0"/>
                              <w:marRight w:val="0"/>
                              <w:marTop w:val="0"/>
                              <w:marBottom w:val="0"/>
                              <w:divBdr>
                                <w:top w:val="none" w:sz="0" w:space="0" w:color="auto"/>
                                <w:left w:val="none" w:sz="0" w:space="0" w:color="auto"/>
                                <w:bottom w:val="none" w:sz="0" w:space="0" w:color="auto"/>
                                <w:right w:val="none" w:sz="0" w:space="0" w:color="auto"/>
                              </w:divBdr>
                            </w:div>
                            <w:div w:id="522134966">
                              <w:marLeft w:val="0"/>
                              <w:marRight w:val="0"/>
                              <w:marTop w:val="0"/>
                              <w:marBottom w:val="0"/>
                              <w:divBdr>
                                <w:top w:val="none" w:sz="0" w:space="0" w:color="auto"/>
                                <w:left w:val="none" w:sz="0" w:space="0" w:color="auto"/>
                                <w:bottom w:val="none" w:sz="0" w:space="0" w:color="auto"/>
                                <w:right w:val="none" w:sz="0" w:space="0" w:color="auto"/>
                              </w:divBdr>
                              <w:divsChild>
                                <w:div w:id="192498885">
                                  <w:marLeft w:val="0"/>
                                  <w:marRight w:val="0"/>
                                  <w:marTop w:val="0"/>
                                  <w:marBottom w:val="0"/>
                                  <w:divBdr>
                                    <w:top w:val="none" w:sz="0" w:space="0" w:color="auto"/>
                                    <w:left w:val="none" w:sz="0" w:space="0" w:color="auto"/>
                                    <w:bottom w:val="none" w:sz="0" w:space="0" w:color="auto"/>
                                    <w:right w:val="none" w:sz="0" w:space="0" w:color="auto"/>
                                  </w:divBdr>
                                </w:div>
                                <w:div w:id="1282299327">
                                  <w:marLeft w:val="0"/>
                                  <w:marRight w:val="0"/>
                                  <w:marTop w:val="0"/>
                                  <w:marBottom w:val="0"/>
                                  <w:divBdr>
                                    <w:top w:val="none" w:sz="0" w:space="0" w:color="auto"/>
                                    <w:left w:val="none" w:sz="0" w:space="0" w:color="auto"/>
                                    <w:bottom w:val="none" w:sz="0" w:space="0" w:color="auto"/>
                                    <w:right w:val="none" w:sz="0" w:space="0" w:color="auto"/>
                                  </w:divBdr>
                                </w:div>
                              </w:divsChild>
                            </w:div>
                            <w:div w:id="1610892878">
                              <w:marLeft w:val="0"/>
                              <w:marRight w:val="0"/>
                              <w:marTop w:val="0"/>
                              <w:marBottom w:val="0"/>
                              <w:divBdr>
                                <w:top w:val="none" w:sz="0" w:space="0" w:color="auto"/>
                                <w:left w:val="none" w:sz="0" w:space="0" w:color="auto"/>
                                <w:bottom w:val="none" w:sz="0" w:space="0" w:color="auto"/>
                                <w:right w:val="none" w:sz="0" w:space="0" w:color="auto"/>
                              </w:divBdr>
                              <w:divsChild>
                                <w:div w:id="1427845802">
                                  <w:marLeft w:val="0"/>
                                  <w:marRight w:val="0"/>
                                  <w:marTop w:val="0"/>
                                  <w:marBottom w:val="0"/>
                                  <w:divBdr>
                                    <w:top w:val="none" w:sz="0" w:space="0" w:color="auto"/>
                                    <w:left w:val="none" w:sz="0" w:space="0" w:color="auto"/>
                                    <w:bottom w:val="none" w:sz="0" w:space="0" w:color="auto"/>
                                    <w:right w:val="none" w:sz="0" w:space="0" w:color="auto"/>
                                  </w:divBdr>
                                </w:div>
                                <w:div w:id="1126780662">
                                  <w:marLeft w:val="0"/>
                                  <w:marRight w:val="0"/>
                                  <w:marTop w:val="0"/>
                                  <w:marBottom w:val="0"/>
                                  <w:divBdr>
                                    <w:top w:val="none" w:sz="0" w:space="0" w:color="auto"/>
                                    <w:left w:val="none" w:sz="0" w:space="0" w:color="auto"/>
                                    <w:bottom w:val="none" w:sz="0" w:space="0" w:color="auto"/>
                                    <w:right w:val="none" w:sz="0" w:space="0" w:color="auto"/>
                                  </w:divBdr>
                                </w:div>
                              </w:divsChild>
                            </w:div>
                            <w:div w:id="730076686">
                              <w:marLeft w:val="0"/>
                              <w:marRight w:val="0"/>
                              <w:marTop w:val="0"/>
                              <w:marBottom w:val="0"/>
                              <w:divBdr>
                                <w:top w:val="none" w:sz="0" w:space="0" w:color="auto"/>
                                <w:left w:val="none" w:sz="0" w:space="0" w:color="auto"/>
                                <w:bottom w:val="none" w:sz="0" w:space="0" w:color="auto"/>
                                <w:right w:val="none" w:sz="0" w:space="0" w:color="auto"/>
                              </w:divBdr>
                            </w:div>
                            <w:div w:id="1431001054">
                              <w:marLeft w:val="0"/>
                              <w:marRight w:val="0"/>
                              <w:marTop w:val="0"/>
                              <w:marBottom w:val="0"/>
                              <w:divBdr>
                                <w:top w:val="none" w:sz="0" w:space="0" w:color="auto"/>
                                <w:left w:val="none" w:sz="0" w:space="0" w:color="auto"/>
                                <w:bottom w:val="none" w:sz="0" w:space="0" w:color="auto"/>
                                <w:right w:val="none" w:sz="0" w:space="0" w:color="auto"/>
                              </w:divBdr>
                              <w:divsChild>
                                <w:div w:id="419720779">
                                  <w:marLeft w:val="0"/>
                                  <w:marRight w:val="0"/>
                                  <w:marTop w:val="0"/>
                                  <w:marBottom w:val="0"/>
                                  <w:divBdr>
                                    <w:top w:val="none" w:sz="0" w:space="0" w:color="auto"/>
                                    <w:left w:val="none" w:sz="0" w:space="0" w:color="auto"/>
                                    <w:bottom w:val="none" w:sz="0" w:space="0" w:color="auto"/>
                                    <w:right w:val="none" w:sz="0" w:space="0" w:color="auto"/>
                                  </w:divBdr>
                                </w:div>
                                <w:div w:id="1447774536">
                                  <w:marLeft w:val="0"/>
                                  <w:marRight w:val="0"/>
                                  <w:marTop w:val="0"/>
                                  <w:marBottom w:val="0"/>
                                  <w:divBdr>
                                    <w:top w:val="none" w:sz="0" w:space="0" w:color="auto"/>
                                    <w:left w:val="none" w:sz="0" w:space="0" w:color="auto"/>
                                    <w:bottom w:val="none" w:sz="0" w:space="0" w:color="auto"/>
                                    <w:right w:val="none" w:sz="0" w:space="0" w:color="auto"/>
                                  </w:divBdr>
                                </w:div>
                                <w:div w:id="1995600052">
                                  <w:marLeft w:val="0"/>
                                  <w:marRight w:val="0"/>
                                  <w:marTop w:val="0"/>
                                  <w:marBottom w:val="0"/>
                                  <w:divBdr>
                                    <w:top w:val="none" w:sz="0" w:space="0" w:color="auto"/>
                                    <w:left w:val="none" w:sz="0" w:space="0" w:color="auto"/>
                                    <w:bottom w:val="none" w:sz="0" w:space="0" w:color="auto"/>
                                    <w:right w:val="none" w:sz="0" w:space="0" w:color="auto"/>
                                  </w:divBdr>
                                </w:div>
                              </w:divsChild>
                            </w:div>
                            <w:div w:id="1376277650">
                              <w:marLeft w:val="0"/>
                              <w:marRight w:val="0"/>
                              <w:marTop w:val="0"/>
                              <w:marBottom w:val="0"/>
                              <w:divBdr>
                                <w:top w:val="none" w:sz="0" w:space="0" w:color="auto"/>
                                <w:left w:val="none" w:sz="0" w:space="0" w:color="auto"/>
                                <w:bottom w:val="none" w:sz="0" w:space="0" w:color="auto"/>
                                <w:right w:val="none" w:sz="0" w:space="0" w:color="auto"/>
                              </w:divBdr>
                              <w:divsChild>
                                <w:div w:id="261111928">
                                  <w:marLeft w:val="0"/>
                                  <w:marRight w:val="0"/>
                                  <w:marTop w:val="0"/>
                                  <w:marBottom w:val="0"/>
                                  <w:divBdr>
                                    <w:top w:val="none" w:sz="0" w:space="0" w:color="auto"/>
                                    <w:left w:val="none" w:sz="0" w:space="0" w:color="auto"/>
                                    <w:bottom w:val="none" w:sz="0" w:space="0" w:color="auto"/>
                                    <w:right w:val="none" w:sz="0" w:space="0" w:color="auto"/>
                                  </w:divBdr>
                                </w:div>
                                <w:div w:id="1513101729">
                                  <w:marLeft w:val="0"/>
                                  <w:marRight w:val="0"/>
                                  <w:marTop w:val="0"/>
                                  <w:marBottom w:val="0"/>
                                  <w:divBdr>
                                    <w:top w:val="none" w:sz="0" w:space="0" w:color="auto"/>
                                    <w:left w:val="none" w:sz="0" w:space="0" w:color="auto"/>
                                    <w:bottom w:val="none" w:sz="0" w:space="0" w:color="auto"/>
                                    <w:right w:val="none" w:sz="0" w:space="0" w:color="auto"/>
                                  </w:divBdr>
                                </w:div>
                              </w:divsChild>
                            </w:div>
                            <w:div w:id="1525090699">
                              <w:marLeft w:val="0"/>
                              <w:marRight w:val="0"/>
                              <w:marTop w:val="0"/>
                              <w:marBottom w:val="0"/>
                              <w:divBdr>
                                <w:top w:val="none" w:sz="0" w:space="0" w:color="auto"/>
                                <w:left w:val="none" w:sz="0" w:space="0" w:color="auto"/>
                                <w:bottom w:val="none" w:sz="0" w:space="0" w:color="auto"/>
                                <w:right w:val="none" w:sz="0" w:space="0" w:color="auto"/>
                              </w:divBdr>
                              <w:divsChild>
                                <w:div w:id="278608997">
                                  <w:marLeft w:val="0"/>
                                  <w:marRight w:val="0"/>
                                  <w:marTop w:val="0"/>
                                  <w:marBottom w:val="0"/>
                                  <w:divBdr>
                                    <w:top w:val="none" w:sz="0" w:space="0" w:color="auto"/>
                                    <w:left w:val="none" w:sz="0" w:space="0" w:color="auto"/>
                                    <w:bottom w:val="none" w:sz="0" w:space="0" w:color="auto"/>
                                    <w:right w:val="none" w:sz="0" w:space="0" w:color="auto"/>
                                  </w:divBdr>
                                </w:div>
                                <w:div w:id="2113476004">
                                  <w:marLeft w:val="0"/>
                                  <w:marRight w:val="0"/>
                                  <w:marTop w:val="0"/>
                                  <w:marBottom w:val="0"/>
                                  <w:divBdr>
                                    <w:top w:val="none" w:sz="0" w:space="0" w:color="auto"/>
                                    <w:left w:val="none" w:sz="0" w:space="0" w:color="auto"/>
                                    <w:bottom w:val="none" w:sz="0" w:space="0" w:color="auto"/>
                                    <w:right w:val="none" w:sz="0" w:space="0" w:color="auto"/>
                                  </w:divBdr>
                                </w:div>
                                <w:div w:id="1002197911">
                                  <w:marLeft w:val="0"/>
                                  <w:marRight w:val="0"/>
                                  <w:marTop w:val="0"/>
                                  <w:marBottom w:val="0"/>
                                  <w:divBdr>
                                    <w:top w:val="none" w:sz="0" w:space="0" w:color="auto"/>
                                    <w:left w:val="none" w:sz="0" w:space="0" w:color="auto"/>
                                    <w:bottom w:val="none" w:sz="0" w:space="0" w:color="auto"/>
                                    <w:right w:val="none" w:sz="0" w:space="0" w:color="auto"/>
                                  </w:divBdr>
                                </w:div>
                              </w:divsChild>
                            </w:div>
                            <w:div w:id="593124849">
                              <w:marLeft w:val="0"/>
                              <w:marRight w:val="0"/>
                              <w:marTop w:val="0"/>
                              <w:marBottom w:val="0"/>
                              <w:divBdr>
                                <w:top w:val="none" w:sz="0" w:space="0" w:color="auto"/>
                                <w:left w:val="none" w:sz="0" w:space="0" w:color="auto"/>
                                <w:bottom w:val="none" w:sz="0" w:space="0" w:color="auto"/>
                                <w:right w:val="none" w:sz="0" w:space="0" w:color="auto"/>
                              </w:divBdr>
                            </w:div>
                            <w:div w:id="194579972">
                              <w:marLeft w:val="0"/>
                              <w:marRight w:val="0"/>
                              <w:marTop w:val="0"/>
                              <w:marBottom w:val="0"/>
                              <w:divBdr>
                                <w:top w:val="none" w:sz="0" w:space="0" w:color="auto"/>
                                <w:left w:val="none" w:sz="0" w:space="0" w:color="auto"/>
                                <w:bottom w:val="none" w:sz="0" w:space="0" w:color="auto"/>
                                <w:right w:val="none" w:sz="0" w:space="0" w:color="auto"/>
                              </w:divBdr>
                            </w:div>
                          </w:divsChild>
                        </w:div>
                        <w:div w:id="576596829">
                          <w:marLeft w:val="0"/>
                          <w:marRight w:val="0"/>
                          <w:marTop w:val="0"/>
                          <w:marBottom w:val="150"/>
                          <w:divBdr>
                            <w:top w:val="none" w:sz="0" w:space="0" w:color="auto"/>
                            <w:left w:val="none" w:sz="0" w:space="0" w:color="auto"/>
                            <w:bottom w:val="none" w:sz="0" w:space="0" w:color="auto"/>
                            <w:right w:val="none" w:sz="0" w:space="0" w:color="auto"/>
                          </w:divBdr>
                        </w:div>
                        <w:div w:id="656694170">
                          <w:marLeft w:val="0"/>
                          <w:marRight w:val="0"/>
                          <w:marTop w:val="0"/>
                          <w:marBottom w:val="150"/>
                          <w:divBdr>
                            <w:top w:val="none" w:sz="0" w:space="0" w:color="auto"/>
                            <w:left w:val="none" w:sz="0" w:space="0" w:color="auto"/>
                            <w:bottom w:val="none" w:sz="0" w:space="0" w:color="auto"/>
                            <w:right w:val="none" w:sz="0" w:space="0" w:color="auto"/>
                          </w:divBdr>
                        </w:div>
                        <w:div w:id="1394305728">
                          <w:marLeft w:val="0"/>
                          <w:marRight w:val="0"/>
                          <w:marTop w:val="0"/>
                          <w:marBottom w:val="150"/>
                          <w:divBdr>
                            <w:top w:val="none" w:sz="0" w:space="0" w:color="auto"/>
                            <w:left w:val="none" w:sz="0" w:space="0" w:color="auto"/>
                            <w:bottom w:val="none" w:sz="0" w:space="0" w:color="auto"/>
                            <w:right w:val="none" w:sz="0" w:space="0" w:color="auto"/>
                          </w:divBdr>
                          <w:divsChild>
                            <w:div w:id="955677227">
                              <w:marLeft w:val="0"/>
                              <w:marRight w:val="0"/>
                              <w:marTop w:val="0"/>
                              <w:marBottom w:val="0"/>
                              <w:divBdr>
                                <w:top w:val="none" w:sz="0" w:space="0" w:color="auto"/>
                                <w:left w:val="none" w:sz="0" w:space="0" w:color="auto"/>
                                <w:bottom w:val="none" w:sz="0" w:space="0" w:color="auto"/>
                                <w:right w:val="none" w:sz="0" w:space="0" w:color="auto"/>
                              </w:divBdr>
                            </w:div>
                            <w:div w:id="1678269859">
                              <w:marLeft w:val="0"/>
                              <w:marRight w:val="0"/>
                              <w:marTop w:val="0"/>
                              <w:marBottom w:val="0"/>
                              <w:divBdr>
                                <w:top w:val="none" w:sz="0" w:space="0" w:color="auto"/>
                                <w:left w:val="none" w:sz="0" w:space="0" w:color="auto"/>
                                <w:bottom w:val="none" w:sz="0" w:space="0" w:color="auto"/>
                                <w:right w:val="none" w:sz="0" w:space="0" w:color="auto"/>
                              </w:divBdr>
                              <w:divsChild>
                                <w:div w:id="2098211432">
                                  <w:marLeft w:val="0"/>
                                  <w:marRight w:val="0"/>
                                  <w:marTop w:val="0"/>
                                  <w:marBottom w:val="0"/>
                                  <w:divBdr>
                                    <w:top w:val="none" w:sz="0" w:space="0" w:color="auto"/>
                                    <w:left w:val="none" w:sz="0" w:space="0" w:color="auto"/>
                                    <w:bottom w:val="none" w:sz="0" w:space="0" w:color="auto"/>
                                    <w:right w:val="none" w:sz="0" w:space="0" w:color="auto"/>
                                  </w:divBdr>
                                </w:div>
                                <w:div w:id="1582717582">
                                  <w:marLeft w:val="0"/>
                                  <w:marRight w:val="0"/>
                                  <w:marTop w:val="0"/>
                                  <w:marBottom w:val="0"/>
                                  <w:divBdr>
                                    <w:top w:val="none" w:sz="0" w:space="0" w:color="auto"/>
                                    <w:left w:val="none" w:sz="0" w:space="0" w:color="auto"/>
                                    <w:bottom w:val="none" w:sz="0" w:space="0" w:color="auto"/>
                                    <w:right w:val="none" w:sz="0" w:space="0" w:color="auto"/>
                                  </w:divBdr>
                                </w:div>
                                <w:div w:id="648051520">
                                  <w:marLeft w:val="0"/>
                                  <w:marRight w:val="0"/>
                                  <w:marTop w:val="0"/>
                                  <w:marBottom w:val="0"/>
                                  <w:divBdr>
                                    <w:top w:val="none" w:sz="0" w:space="0" w:color="auto"/>
                                    <w:left w:val="none" w:sz="0" w:space="0" w:color="auto"/>
                                    <w:bottom w:val="none" w:sz="0" w:space="0" w:color="auto"/>
                                    <w:right w:val="none" w:sz="0" w:space="0" w:color="auto"/>
                                  </w:divBdr>
                                </w:div>
                              </w:divsChild>
                            </w:div>
                            <w:div w:id="860702837">
                              <w:marLeft w:val="0"/>
                              <w:marRight w:val="0"/>
                              <w:marTop w:val="0"/>
                              <w:marBottom w:val="0"/>
                              <w:divBdr>
                                <w:top w:val="none" w:sz="0" w:space="0" w:color="auto"/>
                                <w:left w:val="none" w:sz="0" w:space="0" w:color="auto"/>
                                <w:bottom w:val="none" w:sz="0" w:space="0" w:color="auto"/>
                                <w:right w:val="none" w:sz="0" w:space="0" w:color="auto"/>
                              </w:divBdr>
                              <w:divsChild>
                                <w:div w:id="1335956023">
                                  <w:marLeft w:val="0"/>
                                  <w:marRight w:val="0"/>
                                  <w:marTop w:val="0"/>
                                  <w:marBottom w:val="0"/>
                                  <w:divBdr>
                                    <w:top w:val="none" w:sz="0" w:space="0" w:color="auto"/>
                                    <w:left w:val="none" w:sz="0" w:space="0" w:color="auto"/>
                                    <w:bottom w:val="none" w:sz="0" w:space="0" w:color="auto"/>
                                    <w:right w:val="none" w:sz="0" w:space="0" w:color="auto"/>
                                  </w:divBdr>
                                </w:div>
                                <w:div w:id="1548683742">
                                  <w:marLeft w:val="0"/>
                                  <w:marRight w:val="0"/>
                                  <w:marTop w:val="0"/>
                                  <w:marBottom w:val="0"/>
                                  <w:divBdr>
                                    <w:top w:val="none" w:sz="0" w:space="0" w:color="auto"/>
                                    <w:left w:val="none" w:sz="0" w:space="0" w:color="auto"/>
                                    <w:bottom w:val="none" w:sz="0" w:space="0" w:color="auto"/>
                                    <w:right w:val="none" w:sz="0" w:space="0" w:color="auto"/>
                                  </w:divBdr>
                                </w:div>
                                <w:div w:id="2559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8596">
                          <w:marLeft w:val="0"/>
                          <w:marRight w:val="0"/>
                          <w:marTop w:val="0"/>
                          <w:marBottom w:val="150"/>
                          <w:divBdr>
                            <w:top w:val="none" w:sz="0" w:space="0" w:color="auto"/>
                            <w:left w:val="none" w:sz="0" w:space="0" w:color="auto"/>
                            <w:bottom w:val="none" w:sz="0" w:space="0" w:color="auto"/>
                            <w:right w:val="none" w:sz="0" w:space="0" w:color="auto"/>
                          </w:divBdr>
                          <w:divsChild>
                            <w:div w:id="2036618416">
                              <w:marLeft w:val="0"/>
                              <w:marRight w:val="0"/>
                              <w:marTop w:val="0"/>
                              <w:marBottom w:val="0"/>
                              <w:divBdr>
                                <w:top w:val="none" w:sz="0" w:space="0" w:color="auto"/>
                                <w:left w:val="none" w:sz="0" w:space="0" w:color="auto"/>
                                <w:bottom w:val="none" w:sz="0" w:space="0" w:color="auto"/>
                                <w:right w:val="none" w:sz="0" w:space="0" w:color="auto"/>
                              </w:divBdr>
                            </w:div>
                            <w:div w:id="178472121">
                              <w:marLeft w:val="0"/>
                              <w:marRight w:val="0"/>
                              <w:marTop w:val="0"/>
                              <w:marBottom w:val="0"/>
                              <w:divBdr>
                                <w:top w:val="none" w:sz="0" w:space="0" w:color="auto"/>
                                <w:left w:val="none" w:sz="0" w:space="0" w:color="auto"/>
                                <w:bottom w:val="none" w:sz="0" w:space="0" w:color="auto"/>
                                <w:right w:val="none" w:sz="0" w:space="0" w:color="auto"/>
                              </w:divBdr>
                            </w:div>
                            <w:div w:id="4631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zeichnis-sozialrecht.de/Versicherung/index.html" TargetMode="External"/><Relationship Id="rId3" Type="http://schemas.openxmlformats.org/officeDocument/2006/relationships/settings" Target="settings.xml"/><Relationship Id="rId7" Type="http://schemas.openxmlformats.org/officeDocument/2006/relationships/hyperlink" Target="http://www.verzeichnis-sozialrecht.de/Weiterbildung/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rzeichnis-sozialrecht.de/Versicherung/Rentenversicherung/index.html" TargetMode="External"/><Relationship Id="rId5" Type="http://schemas.openxmlformats.org/officeDocument/2006/relationships/hyperlink" Target="http://www.verzeichnis-sozialrecht.de/Gesundheit/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9451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Bein</dc:creator>
  <cp:lastModifiedBy>Sabine,  Bein</cp:lastModifiedBy>
  <cp:revision>1</cp:revision>
  <cp:lastPrinted>2012-11-13T09:20:00Z</cp:lastPrinted>
  <dcterms:created xsi:type="dcterms:W3CDTF">2012-11-13T09:19:00Z</dcterms:created>
  <dcterms:modified xsi:type="dcterms:W3CDTF">2012-11-13T09:20:00Z</dcterms:modified>
</cp:coreProperties>
</file>