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0" w:rsidRPr="00570400" w:rsidRDefault="00570400" w:rsidP="00570400">
      <w:pPr>
        <w:rPr>
          <w:rFonts w:ascii="Arial" w:hAnsi="Arial" w:cs="Arial"/>
          <w:color w:val="FF0000"/>
          <w:sz w:val="48"/>
          <w:szCs w:val="48"/>
          <w:u w:val="single"/>
        </w:rPr>
      </w:pPr>
      <w:r w:rsidRPr="00570400">
        <w:rPr>
          <w:rFonts w:ascii="Arial" w:hAnsi="Arial" w:cs="Arial"/>
          <w:color w:val="FF0000"/>
          <w:sz w:val="48"/>
          <w:szCs w:val="48"/>
          <w:u w:val="single"/>
        </w:rPr>
        <w:t>Kombinationsmöglichkeit:</w:t>
      </w:r>
    </w:p>
    <w:p w:rsidR="00570400" w:rsidRPr="00570400" w:rsidRDefault="00570400" w:rsidP="00570400">
      <w:pPr>
        <w:rPr>
          <w:rFonts w:ascii="Arial" w:hAnsi="Arial" w:cs="Arial"/>
          <w:color w:val="1F497D"/>
          <w:sz w:val="48"/>
          <w:szCs w:val="48"/>
        </w:rPr>
      </w:pPr>
    </w:p>
    <w:p w:rsidR="00570400" w:rsidRPr="00570400" w:rsidRDefault="00570400" w:rsidP="00570400">
      <w:pPr>
        <w:autoSpaceDE w:val="0"/>
        <w:autoSpaceDN w:val="0"/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</w:pP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Automotive Economics </w:t>
      </w:r>
      <w:proofErr w:type="spellStart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and</w:t>
      </w:r>
      <w:proofErr w:type="spellEnd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Management“ (Herr Dudenhöffer)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und „</w:t>
      </w:r>
      <w:proofErr w:type="spellStart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Advanced</w:t>
      </w:r>
      <w:proofErr w:type="spellEnd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International Automotive Management“ (Frau Proff) die Möglichkeit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haben, bis zu zwei Veranstaltungen aus dem jeweils anderen Vertiefungsbereich zu </w:t>
      </w:r>
      <w:r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a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bsolvieren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und dadurch die beiden Vertiefungen miteinander zu kombinieren.</w:t>
      </w:r>
    </w:p>
    <w:p w:rsidR="00570400" w:rsidRDefault="00570400" w:rsidP="00570400">
      <w:pPr>
        <w:autoSpaceDE w:val="0"/>
        <w:autoSpaceDN w:val="0"/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</w:pP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Die Studierenden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müssen sich dabei aber dennoch für einen der beiden Vertiefungsbereiche entscheiden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und dort zwingend eine der beiden angebotenen Vorlesungen und das Seminar</w:t>
      </w:r>
      <w:r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a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bsolvieren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,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d.h. die andere der beiden Vorlesungen sowie die Übung können über das</w:t>
      </w:r>
      <w:r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</w:t>
      </w:r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Veranstaltungsangebot</w:t>
      </w:r>
    </w:p>
    <w:p w:rsidR="00570400" w:rsidRPr="00570400" w:rsidRDefault="00570400" w:rsidP="00570400">
      <w:pPr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</w:pPr>
      <w:bookmarkStart w:id="0" w:name="_GoBack"/>
      <w:bookmarkEnd w:id="0"/>
      <w:proofErr w:type="gramStart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>des</w:t>
      </w:r>
      <w:proofErr w:type="gramEnd"/>
      <w:r w:rsidRPr="00570400">
        <w:rPr>
          <w:rFonts w:ascii="Arial" w:hAnsi="Arial" w:cs="Arial"/>
          <w:color w:val="1F4E79" w:themeColor="accent1" w:themeShade="80"/>
          <w:sz w:val="48"/>
          <w:szCs w:val="48"/>
          <w:lang w:eastAsia="de-DE"/>
        </w:rPr>
        <w:t xml:space="preserve"> verwandten Vertiefungsbereichs abgedeckt werden.</w:t>
      </w:r>
    </w:p>
    <w:p w:rsidR="0020716E" w:rsidRPr="00570400" w:rsidRDefault="0020716E">
      <w:pPr>
        <w:rPr>
          <w:rFonts w:ascii="Arial" w:hAnsi="Arial" w:cs="Arial"/>
          <w:sz w:val="48"/>
          <w:szCs w:val="48"/>
        </w:rPr>
      </w:pPr>
    </w:p>
    <w:sectPr w:rsidR="0020716E" w:rsidRPr="00570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0"/>
    <w:rsid w:val="0020716E"/>
    <w:rsid w:val="005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4A01-BC9F-452A-A74F-A408B5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40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Plewa, Kira</dc:creator>
  <cp:keywords/>
  <dc:description/>
  <cp:lastModifiedBy>Plewa, Kira</cp:lastModifiedBy>
  <cp:revision>1</cp:revision>
  <dcterms:created xsi:type="dcterms:W3CDTF">2019-04-18T10:56:00Z</dcterms:created>
  <dcterms:modified xsi:type="dcterms:W3CDTF">2019-04-18T11:01:00Z</dcterms:modified>
</cp:coreProperties>
</file>